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D9B4E" w14:textId="77777777" w:rsidR="007B22F9" w:rsidRDefault="00256493">
      <w:pPr>
        <w:pStyle w:val="Titolo1"/>
        <w:spacing w:before="76"/>
        <w:ind w:right="137"/>
        <w:jc w:val="right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>ALLEGATO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>3</w:t>
      </w:r>
    </w:p>
    <w:p w14:paraId="197BAF38" w14:textId="77777777" w:rsidR="007B22F9" w:rsidRDefault="00256493">
      <w:pPr>
        <w:pStyle w:val="Corpotesto"/>
        <w:spacing w:before="9"/>
        <w:rPr>
          <w:rFonts w:ascii="Times New Roman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83B6958" wp14:editId="2A452EA9">
                <wp:simplePos x="0" y="0"/>
                <wp:positionH relativeFrom="page">
                  <wp:posOffset>498475</wp:posOffset>
                </wp:positionH>
                <wp:positionV relativeFrom="paragraph">
                  <wp:posOffset>182245</wp:posOffset>
                </wp:positionV>
                <wp:extent cx="6466840" cy="39497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3949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C8E8" w14:textId="77777777" w:rsidR="007B22F9" w:rsidRDefault="00256493">
                            <w:pPr>
                              <w:ind w:left="127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9"/>
                                <w:sz w:val="24"/>
                              </w:rPr>
                              <w:t>La dichiarazione di cui al presente modello deve essere resa da tutti i soggetti indicati dal concorrente al Punto 24 dell’ Allegato 1 (Istanza di partecipazione).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3B69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25pt;margin-top:14.35pt;width:509.2pt;height:31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" fillcolor="#dfdfdf" strokeweight=".72pt">
                <v:textbox inset="0,0,0,0">
                  <w:txbxContent>
                    <w:p w14:paraId="1CADC8E8" w14:textId="77777777" w:rsidR="007B22F9" w:rsidRDefault="00256493">
                      <w:pPr>
                        <w:ind w:left="127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9"/>
                          <w:sz w:val="24"/>
                        </w:rPr>
                        <w:t xml:space="preserve">La dichiarazione di cui al presente modello deve essere resa da tutti i soggetti indicati dal concorrente al Punto 24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color w:val="000009"/>
                          <w:sz w:val="24"/>
                        </w:rPr>
                        <w:t>dell’ Allegato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000009"/>
                          <w:sz w:val="24"/>
                        </w:rPr>
                        <w:t xml:space="preserve"> 1 (Istanza di partecipazione).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FDAD71" w14:textId="77777777" w:rsidR="007B22F9" w:rsidRDefault="007B22F9">
      <w:pPr>
        <w:pStyle w:val="Corpotesto"/>
        <w:spacing w:before="9"/>
        <w:rPr>
          <w:rFonts w:ascii="Times New Roman"/>
          <w:b/>
          <w:sz w:val="8"/>
        </w:rPr>
      </w:pPr>
    </w:p>
    <w:p w14:paraId="1CF0359F" w14:textId="7E8BE31C" w:rsidR="00C71B8B" w:rsidRPr="00C71B8B" w:rsidRDefault="00256493" w:rsidP="0006779E">
      <w:pPr>
        <w:spacing w:before="100" w:line="252" w:lineRule="auto"/>
        <w:ind w:left="239" w:right="378"/>
        <w:jc w:val="both"/>
        <w:rPr>
          <w:b/>
          <w:bCs/>
          <w:color w:val="202022"/>
          <w:sz w:val="20"/>
        </w:rPr>
      </w:pPr>
      <w:r>
        <w:rPr>
          <w:b/>
          <w:sz w:val="20"/>
          <w:u w:val="thick"/>
        </w:rPr>
        <w:t>OGGETTO</w:t>
      </w:r>
      <w:r w:rsidRPr="00C71B8B">
        <w:rPr>
          <w:sz w:val="20"/>
        </w:rPr>
        <w:t>:</w:t>
      </w:r>
      <w:r w:rsidR="0006779E" w:rsidRPr="00C71B8B">
        <w:rPr>
          <w:b/>
          <w:color w:val="202022"/>
          <w:sz w:val="20"/>
        </w:rPr>
        <w:t xml:space="preserve"> </w:t>
      </w:r>
      <w:r w:rsidR="00C71B8B" w:rsidRPr="00C71B8B">
        <w:rPr>
          <w:b/>
          <w:bCs/>
          <w:color w:val="202022"/>
          <w:sz w:val="20"/>
        </w:rPr>
        <w:t xml:space="preserve">AVVISO PUBBLICO PER LA FORMAZIONE DI UN ALBO </w:t>
      </w:r>
      <w:bookmarkStart w:id="1" w:name="_Hlk109208079"/>
      <w:r w:rsidR="00C71B8B" w:rsidRPr="00C71B8B">
        <w:rPr>
          <w:b/>
          <w:bCs/>
          <w:color w:val="202022"/>
          <w:sz w:val="20"/>
        </w:rPr>
        <w:t xml:space="preserve">DI FARMACIE E PARAFARMACIE DELL’AMBITO TERRITORIALE N. 18, PER L’EROGAZIONE, TRAMITE VOUCHER, DI GEL SANIFICANTE E MASCHERINE </w:t>
      </w:r>
      <w:bookmarkEnd w:id="1"/>
      <w:r w:rsidR="00536B1F">
        <w:rPr>
          <w:b/>
          <w:bCs/>
          <w:color w:val="202022"/>
          <w:sz w:val="20"/>
        </w:rPr>
        <w:t xml:space="preserve">- </w:t>
      </w:r>
      <w:r w:rsidR="00536B1F" w:rsidRPr="00536B1F">
        <w:rPr>
          <w:b/>
          <w:bCs/>
          <w:color w:val="202022"/>
          <w:sz w:val="20"/>
        </w:rPr>
        <w:t>DD. 223/2021</w:t>
      </w:r>
    </w:p>
    <w:p w14:paraId="371A98CD" w14:textId="77777777" w:rsidR="007B22F9" w:rsidRDefault="00256493">
      <w:pPr>
        <w:pStyle w:val="Titolo1"/>
        <w:ind w:left="1390" w:right="1663"/>
        <w:jc w:val="center"/>
        <w:rPr>
          <w:rFonts w:ascii="Times New Roman"/>
        </w:rPr>
      </w:pPr>
      <w:r>
        <w:rPr>
          <w:rFonts w:ascii="Times New Roman"/>
        </w:rPr>
        <w:t>Dichiarazione sostitutiva di certificazione (D.P.R. n. 445 del 28.12.2000)</w:t>
      </w:r>
    </w:p>
    <w:p w14:paraId="1264B423" w14:textId="77777777" w:rsidR="007B22F9" w:rsidRDefault="007B22F9">
      <w:pPr>
        <w:pStyle w:val="Corpotesto"/>
        <w:spacing w:before="7"/>
        <w:rPr>
          <w:rFonts w:ascii="Times New Roman"/>
          <w:b/>
          <w:sz w:val="27"/>
        </w:rPr>
      </w:pPr>
    </w:p>
    <w:p w14:paraId="3C5F5704" w14:textId="77777777" w:rsidR="007B22F9" w:rsidRDefault="00256493">
      <w:pPr>
        <w:pStyle w:val="Corpotesto"/>
        <w:tabs>
          <w:tab w:val="left" w:pos="6390"/>
          <w:tab w:val="left" w:pos="10189"/>
        </w:tabs>
        <w:spacing w:before="1"/>
        <w:ind w:left="239" w:right="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sottoscritto/a…….., 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….. </w:t>
      </w:r>
      <w:r>
        <w:rPr>
          <w:rFonts w:ascii="Times New Roman" w:hAnsi="Times New Roman"/>
        </w:rPr>
        <w:t xml:space="preserve">Prov. (…), il …., e residente a </w:t>
      </w:r>
      <w:r>
        <w:rPr>
          <w:rFonts w:ascii="Times New Roman" w:hAnsi="Times New Roman"/>
          <w:b/>
        </w:rPr>
        <w:t>….</w:t>
      </w:r>
      <w:r>
        <w:rPr>
          <w:rFonts w:ascii="Times New Roman" w:hAnsi="Times New Roman"/>
        </w:rPr>
        <w:t xml:space="preserve">, Prov. (…) in Via…… n…., consapevole delle sanzioni penali in caso di dichiarazioni false e della conseguente decadenza dai benefici eventualmente conseguiti (ai sensi degli     artt.     75     e     76     D.P.R.     445/2000)     sotto     la     propria     responsabilità,     in 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 xml:space="preserve">qualità   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7"/>
          <w:vertAlign w:val="superscript"/>
        </w:rPr>
        <w:t>1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 xml:space="preserve">dell’impresa……………………………………….(P. Iva n.   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09A060D" w14:textId="77777777" w:rsidR="007B22F9" w:rsidRDefault="007B22F9">
      <w:pPr>
        <w:pStyle w:val="Corpotesto"/>
        <w:spacing w:before="10"/>
        <w:rPr>
          <w:rFonts w:ascii="Times New Roman"/>
          <w:sz w:val="25"/>
        </w:rPr>
      </w:pPr>
    </w:p>
    <w:p w14:paraId="1FE6F325" w14:textId="77777777" w:rsidR="007B22F9" w:rsidRDefault="00256493">
      <w:pPr>
        <w:pStyle w:val="Titolo2"/>
        <w:spacing w:before="91" w:line="228" w:lineRule="exact"/>
        <w:rPr>
          <w:rFonts w:ascii="Times New Roman"/>
        </w:rPr>
      </w:pPr>
      <w:r>
        <w:rPr>
          <w:rFonts w:ascii="Times New Roman"/>
        </w:rPr>
        <w:t>D I C H I A R A</w:t>
      </w:r>
    </w:p>
    <w:p w14:paraId="7A0AA4C9" w14:textId="77777777" w:rsidR="007B22F9" w:rsidRDefault="00256493">
      <w:pPr>
        <w:ind w:left="239" w:right="2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che non sussistono nei propri confronti cause di divieto, di decadenza o di sospensione, previste dall'articolo </w:t>
      </w:r>
      <w:r>
        <w:rPr>
          <w:rFonts w:ascii="Times New Roman" w:hAnsi="Times New Roman"/>
          <w:spacing w:val="4"/>
          <w:sz w:val="20"/>
        </w:rPr>
        <w:t>67</w:t>
      </w:r>
      <w:r>
        <w:rPr>
          <w:rFonts w:ascii="Times New Roman" w:hAnsi="Times New Roman"/>
          <w:spacing w:val="4"/>
          <w:sz w:val="20"/>
          <w:vertAlign w:val="superscript"/>
        </w:rPr>
        <w:t>2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del D. lgs. 6 Settembre 2011, n. 159 “</w:t>
      </w:r>
      <w:r>
        <w:rPr>
          <w:rFonts w:ascii="Times New Roman" w:hAnsi="Times New Roman"/>
          <w:i/>
          <w:sz w:val="20"/>
        </w:rPr>
        <w:t xml:space="preserve">Codice delle leggi antimafia e delle misure di prevenzione, nonché nuove disposizioni in materia di documentazione antimafia, a norma degli articoli 1 e 2 della legge 13 Agosto 2010, </w:t>
      </w:r>
      <w:r>
        <w:rPr>
          <w:rFonts w:ascii="Times New Roman" w:hAnsi="Times New Roman"/>
          <w:i/>
          <w:spacing w:val="2"/>
          <w:sz w:val="20"/>
        </w:rPr>
        <w:t>n.136</w:t>
      </w:r>
      <w:r>
        <w:rPr>
          <w:rFonts w:ascii="Times New Roman" w:hAnsi="Times New Roman"/>
          <w:spacing w:val="2"/>
          <w:sz w:val="20"/>
        </w:rPr>
        <w:t xml:space="preserve">” </w:t>
      </w:r>
      <w:r>
        <w:rPr>
          <w:rFonts w:ascii="Times New Roman" w:hAnsi="Times New Roman"/>
          <w:sz w:val="20"/>
        </w:rPr>
        <w:t>e successive modificazioni ed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integrazioni.</w:t>
      </w:r>
    </w:p>
    <w:p w14:paraId="0560A4C4" w14:textId="77777777" w:rsidR="007B22F9" w:rsidRDefault="007B22F9">
      <w:pPr>
        <w:pStyle w:val="Corpotesto"/>
        <w:spacing w:before="10"/>
        <w:rPr>
          <w:rFonts w:ascii="Times New Roman"/>
          <w:sz w:val="22"/>
        </w:rPr>
      </w:pPr>
    </w:p>
    <w:p w14:paraId="679D9C7D" w14:textId="77777777" w:rsidR="007B22F9" w:rsidRDefault="00256493">
      <w:pPr>
        <w:pStyle w:val="Titolo2"/>
        <w:rPr>
          <w:rFonts w:ascii="Times New Roman"/>
        </w:rPr>
      </w:pPr>
      <w:r>
        <w:rPr>
          <w:rFonts w:ascii="Times New Roman"/>
        </w:rPr>
        <w:t>D I C H I A R A</w:t>
      </w:r>
    </w:p>
    <w:p w14:paraId="24894479" w14:textId="77777777" w:rsidR="007B22F9" w:rsidRDefault="007B22F9">
      <w:pPr>
        <w:pStyle w:val="Corpotesto"/>
        <w:spacing w:before="7"/>
        <w:rPr>
          <w:rFonts w:ascii="Times New Roman"/>
          <w:b/>
          <w:sz w:val="22"/>
        </w:rPr>
      </w:pPr>
    </w:p>
    <w:p w14:paraId="4114A05C" w14:textId="77777777" w:rsidR="007B22F9" w:rsidRDefault="00256493">
      <w:pPr>
        <w:pStyle w:val="Corpotesto"/>
        <w:ind w:left="239" w:righ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Inoltre, per le finalità dell’art. 85 (soggetti sottoposti alla verifica antimafia) del già citato D. lgs. 6 Settembre 2001, n. 159, che i propri familiari conviventi sono:</w:t>
      </w:r>
    </w:p>
    <w:p w14:paraId="4F58D16C" w14:textId="77777777" w:rsidR="007B22F9" w:rsidRDefault="007B22F9">
      <w:pPr>
        <w:pStyle w:val="Corpotesto"/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9"/>
        <w:gridCol w:w="2445"/>
        <w:gridCol w:w="2449"/>
      </w:tblGrid>
      <w:tr w:rsidR="007B22F9" w14:paraId="2FF7535A" w14:textId="77777777">
        <w:trPr>
          <w:trHeight w:val="241"/>
        </w:trPr>
        <w:tc>
          <w:tcPr>
            <w:tcW w:w="2444" w:type="dxa"/>
          </w:tcPr>
          <w:p w14:paraId="1D66FA92" w14:textId="77777777" w:rsidR="007B22F9" w:rsidRDefault="00256493">
            <w:pPr>
              <w:pStyle w:val="TableParagraph"/>
              <w:spacing w:line="222" w:lineRule="exact"/>
              <w:ind w:left="751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449" w:type="dxa"/>
          </w:tcPr>
          <w:p w14:paraId="12A780D1" w14:textId="77777777" w:rsidR="007B22F9" w:rsidRDefault="00256493">
            <w:pPr>
              <w:pStyle w:val="TableParagraph"/>
              <w:spacing w:line="222" w:lineRule="exact"/>
              <w:ind w:left="960" w:right="950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445" w:type="dxa"/>
          </w:tcPr>
          <w:p w14:paraId="3F059A3B" w14:textId="77777777" w:rsidR="007B22F9" w:rsidRDefault="00256493">
            <w:pPr>
              <w:pStyle w:val="TableParagraph"/>
              <w:spacing w:line="222" w:lineRule="exact"/>
              <w:ind w:left="263"/>
              <w:rPr>
                <w:sz w:val="20"/>
              </w:rPr>
            </w:pPr>
            <w:r>
              <w:rPr>
                <w:sz w:val="20"/>
              </w:rPr>
              <w:t>Luogo/data nascita</w:t>
            </w:r>
          </w:p>
        </w:tc>
        <w:tc>
          <w:tcPr>
            <w:tcW w:w="2449" w:type="dxa"/>
          </w:tcPr>
          <w:p w14:paraId="54FAAE23" w14:textId="77777777" w:rsidR="007B22F9" w:rsidRDefault="00256493">
            <w:pPr>
              <w:pStyle w:val="TableParagraph"/>
              <w:spacing w:line="222" w:lineRule="exact"/>
              <w:ind w:left="257"/>
              <w:rPr>
                <w:sz w:val="20"/>
              </w:rPr>
            </w:pPr>
            <w:r>
              <w:rPr>
                <w:sz w:val="20"/>
              </w:rPr>
              <w:t>Rapporto parentela</w:t>
            </w:r>
          </w:p>
        </w:tc>
      </w:tr>
      <w:tr w:rsidR="007B22F9" w14:paraId="6F14B07A" w14:textId="77777777">
        <w:trPr>
          <w:trHeight w:val="241"/>
        </w:trPr>
        <w:tc>
          <w:tcPr>
            <w:tcW w:w="2444" w:type="dxa"/>
          </w:tcPr>
          <w:p w14:paraId="3E4566FB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9" w:type="dxa"/>
          </w:tcPr>
          <w:p w14:paraId="078C895F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357EC15A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9" w:type="dxa"/>
          </w:tcPr>
          <w:p w14:paraId="5ACC6A3E" w14:textId="77777777" w:rsidR="007B22F9" w:rsidRDefault="007B22F9">
            <w:pPr>
              <w:pStyle w:val="TableParagraph"/>
              <w:rPr>
                <w:sz w:val="16"/>
              </w:rPr>
            </w:pPr>
          </w:p>
        </w:tc>
      </w:tr>
      <w:tr w:rsidR="007B22F9" w14:paraId="3F15DDAD" w14:textId="77777777">
        <w:trPr>
          <w:trHeight w:val="244"/>
        </w:trPr>
        <w:tc>
          <w:tcPr>
            <w:tcW w:w="2444" w:type="dxa"/>
          </w:tcPr>
          <w:p w14:paraId="07C31E00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9" w:type="dxa"/>
          </w:tcPr>
          <w:p w14:paraId="6362AC35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5B754EA9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9" w:type="dxa"/>
          </w:tcPr>
          <w:p w14:paraId="3E578854" w14:textId="77777777" w:rsidR="007B22F9" w:rsidRDefault="007B22F9">
            <w:pPr>
              <w:pStyle w:val="TableParagraph"/>
              <w:rPr>
                <w:sz w:val="16"/>
              </w:rPr>
            </w:pPr>
          </w:p>
        </w:tc>
      </w:tr>
      <w:tr w:rsidR="007B22F9" w14:paraId="0CAEA39D" w14:textId="77777777">
        <w:trPr>
          <w:trHeight w:val="241"/>
        </w:trPr>
        <w:tc>
          <w:tcPr>
            <w:tcW w:w="2444" w:type="dxa"/>
          </w:tcPr>
          <w:p w14:paraId="44E6038C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9" w:type="dxa"/>
          </w:tcPr>
          <w:p w14:paraId="4722F98F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23CCCBC7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9" w:type="dxa"/>
          </w:tcPr>
          <w:p w14:paraId="02B24932" w14:textId="77777777" w:rsidR="007B22F9" w:rsidRDefault="007B22F9">
            <w:pPr>
              <w:pStyle w:val="TableParagraph"/>
              <w:rPr>
                <w:sz w:val="16"/>
              </w:rPr>
            </w:pPr>
          </w:p>
        </w:tc>
      </w:tr>
      <w:tr w:rsidR="007B22F9" w14:paraId="0D1F1A20" w14:textId="77777777">
        <w:trPr>
          <w:trHeight w:val="244"/>
        </w:trPr>
        <w:tc>
          <w:tcPr>
            <w:tcW w:w="2444" w:type="dxa"/>
          </w:tcPr>
          <w:p w14:paraId="22C7641A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9" w:type="dxa"/>
          </w:tcPr>
          <w:p w14:paraId="56580E67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0B2D75A0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9" w:type="dxa"/>
          </w:tcPr>
          <w:p w14:paraId="6A064201" w14:textId="77777777" w:rsidR="007B22F9" w:rsidRDefault="007B22F9">
            <w:pPr>
              <w:pStyle w:val="TableParagraph"/>
              <w:rPr>
                <w:sz w:val="16"/>
              </w:rPr>
            </w:pPr>
          </w:p>
        </w:tc>
      </w:tr>
      <w:tr w:rsidR="007B22F9" w14:paraId="6E918754" w14:textId="77777777">
        <w:trPr>
          <w:trHeight w:val="242"/>
        </w:trPr>
        <w:tc>
          <w:tcPr>
            <w:tcW w:w="2444" w:type="dxa"/>
          </w:tcPr>
          <w:p w14:paraId="7D39F777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9" w:type="dxa"/>
          </w:tcPr>
          <w:p w14:paraId="33D79920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14:paraId="711A3511" w14:textId="77777777" w:rsidR="007B22F9" w:rsidRDefault="007B22F9">
            <w:pPr>
              <w:pStyle w:val="TableParagraph"/>
              <w:rPr>
                <w:sz w:val="16"/>
              </w:rPr>
            </w:pPr>
          </w:p>
        </w:tc>
        <w:tc>
          <w:tcPr>
            <w:tcW w:w="2449" w:type="dxa"/>
          </w:tcPr>
          <w:p w14:paraId="1572C237" w14:textId="77777777" w:rsidR="007B22F9" w:rsidRDefault="007B22F9">
            <w:pPr>
              <w:pStyle w:val="TableParagraph"/>
              <w:rPr>
                <w:sz w:val="16"/>
              </w:rPr>
            </w:pPr>
          </w:p>
        </w:tc>
      </w:tr>
    </w:tbl>
    <w:p w14:paraId="60018911" w14:textId="77777777" w:rsidR="007B22F9" w:rsidRDefault="007B22F9">
      <w:pPr>
        <w:pStyle w:val="Corpotesto"/>
        <w:spacing w:before="4"/>
        <w:rPr>
          <w:rFonts w:ascii="Times New Roman"/>
        </w:rPr>
      </w:pPr>
    </w:p>
    <w:p w14:paraId="35F42C37" w14:textId="77777777" w:rsidR="007B22F9" w:rsidRDefault="00256493">
      <w:pPr>
        <w:pStyle w:val="Corpotesto"/>
        <w:ind w:left="450"/>
        <w:rPr>
          <w:rFonts w:ascii="Times New Roman"/>
          <w:sz w:val="24"/>
        </w:rPr>
      </w:pPr>
      <w:r>
        <w:rPr>
          <w:rFonts w:ascii="Times New Roman"/>
        </w:rPr>
        <w:t>Luogo e data</w:t>
      </w:r>
      <w:r>
        <w:rPr>
          <w:rFonts w:ascii="Times New Roman"/>
          <w:sz w:val="24"/>
        </w:rPr>
        <w:t>:</w:t>
      </w:r>
    </w:p>
    <w:p w14:paraId="7351080E" w14:textId="77777777" w:rsidR="007B22F9" w:rsidRDefault="007B22F9">
      <w:pPr>
        <w:pStyle w:val="Corpotesto"/>
        <w:spacing w:before="11"/>
        <w:rPr>
          <w:rFonts w:ascii="Times New Roman"/>
          <w:sz w:val="25"/>
        </w:rPr>
      </w:pPr>
    </w:p>
    <w:p w14:paraId="06AEE545" w14:textId="77777777" w:rsidR="007B22F9" w:rsidRDefault="00256493">
      <w:pPr>
        <w:ind w:right="49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(firma per esteso e leggibile)</w:t>
      </w:r>
    </w:p>
    <w:p w14:paraId="7E9E35FE" w14:textId="77777777" w:rsidR="007B22F9" w:rsidRDefault="007B22F9">
      <w:pPr>
        <w:pStyle w:val="Corpotesto"/>
        <w:rPr>
          <w:rFonts w:ascii="Times New Roman"/>
        </w:rPr>
      </w:pPr>
    </w:p>
    <w:p w14:paraId="168A5EBE" w14:textId="77777777" w:rsidR="007B22F9" w:rsidRDefault="00256493">
      <w:pPr>
        <w:pStyle w:val="Corpotesto"/>
        <w:spacing w:before="3"/>
        <w:rPr>
          <w:rFonts w:ascii="Times New Roman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1BCD21" wp14:editId="34994C9F">
                <wp:simplePos x="0" y="0"/>
                <wp:positionH relativeFrom="page">
                  <wp:posOffset>701040</wp:posOffset>
                </wp:positionH>
                <wp:positionV relativeFrom="paragraph">
                  <wp:posOffset>248285</wp:posOffset>
                </wp:positionV>
                <wp:extent cx="615823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32FCEC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9.55pt" to="540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" strokeweight="1.44pt">
                <w10:wrap type="topAndBottom" anchorx="page"/>
              </v:line>
            </w:pict>
          </mc:Fallback>
        </mc:AlternateContent>
      </w:r>
    </w:p>
    <w:p w14:paraId="5561501A" w14:textId="77777777" w:rsidR="007B22F9" w:rsidRDefault="007B22F9">
      <w:pPr>
        <w:pStyle w:val="Corpotesto"/>
        <w:rPr>
          <w:rFonts w:ascii="Times New Roman"/>
        </w:rPr>
      </w:pPr>
    </w:p>
    <w:p w14:paraId="114ACE50" w14:textId="77777777" w:rsidR="007B22F9" w:rsidRDefault="007B22F9">
      <w:pPr>
        <w:pStyle w:val="Corpotesto"/>
        <w:spacing w:before="9"/>
        <w:rPr>
          <w:rFonts w:ascii="Times New Roman"/>
          <w:sz w:val="18"/>
        </w:rPr>
      </w:pPr>
    </w:p>
    <w:p w14:paraId="7DD996DF" w14:textId="77777777" w:rsidR="007B22F9" w:rsidRDefault="00256493">
      <w:pPr>
        <w:ind w:left="450"/>
        <w:rPr>
          <w:sz w:val="16"/>
        </w:rPr>
      </w:pPr>
      <w:r>
        <w:rPr>
          <w:sz w:val="16"/>
        </w:rPr>
        <w:t>Si allega copia di documento d’identità in corso di validità.</w:t>
      </w:r>
    </w:p>
    <w:p w14:paraId="1F7DD19D" w14:textId="77777777" w:rsidR="007B22F9" w:rsidRDefault="007B22F9">
      <w:pPr>
        <w:pStyle w:val="Corpotesto"/>
      </w:pPr>
    </w:p>
    <w:p w14:paraId="38DF3D64" w14:textId="77777777" w:rsidR="007B22F9" w:rsidRDefault="00256493">
      <w:pPr>
        <w:pStyle w:val="Corpotesto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1D3D3C" wp14:editId="14C31FF5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18294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9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F2A426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95pt" to="200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" strokeweight=".22011mm">
                <w10:wrap type="topAndBottom" anchorx="page"/>
              </v:line>
            </w:pict>
          </mc:Fallback>
        </mc:AlternateContent>
      </w:r>
    </w:p>
    <w:p w14:paraId="6742F87F" w14:textId="77777777" w:rsidR="007B22F9" w:rsidRDefault="00256493">
      <w:pPr>
        <w:spacing w:before="60"/>
        <w:ind w:left="450"/>
        <w:rPr>
          <w:sz w:val="14"/>
        </w:rPr>
      </w:pPr>
      <w:r>
        <w:rPr>
          <w:sz w:val="14"/>
        </w:rPr>
        <w:t>1 Indicare il ruolo di riferimento: Legale rappresentante, Amministratore unico, Socio, Direttore tecnico, ecc.</w:t>
      </w:r>
    </w:p>
    <w:p w14:paraId="0F4411CE" w14:textId="77777777" w:rsidR="007B22F9" w:rsidRDefault="007B22F9">
      <w:pPr>
        <w:pStyle w:val="Corpotesto"/>
        <w:spacing w:before="2"/>
        <w:rPr>
          <w:sz w:val="13"/>
        </w:rPr>
      </w:pPr>
    </w:p>
    <w:p w14:paraId="416BD45E" w14:textId="77777777" w:rsidR="007B22F9" w:rsidRDefault="00256493">
      <w:pPr>
        <w:spacing w:before="1"/>
        <w:ind w:left="450" w:right="292"/>
        <w:jc w:val="both"/>
        <w:rPr>
          <w:sz w:val="14"/>
        </w:rPr>
      </w:pPr>
      <w:r>
        <w:rPr>
          <w:position w:val="6"/>
          <w:sz w:val="9"/>
        </w:rPr>
        <w:t xml:space="preserve">2 </w:t>
      </w:r>
      <w:r>
        <w:rPr>
          <w:sz w:val="14"/>
        </w:rPr>
        <w:t>Costituiscono cause ostative l’avere in corso procedimenti o essere destinatari di provvedimenti definitivi di applicazione di misure di prevenzione, di cui all’art. 4 del D. lgs. 159/2011: indiziati di appartenenza alle associazioni di cui all’art. 416-</w:t>
      </w:r>
      <w:r>
        <w:rPr>
          <w:i/>
          <w:sz w:val="14"/>
        </w:rPr>
        <w:t xml:space="preserve">bis </w:t>
      </w:r>
      <w:r>
        <w:rPr>
          <w:sz w:val="14"/>
        </w:rPr>
        <w:t>c.p.; indiziati di uno dei reati previsti dall’articolo 51, comma 3-</w:t>
      </w:r>
      <w:r>
        <w:rPr>
          <w:i/>
          <w:sz w:val="14"/>
        </w:rPr>
        <w:t>bis</w:t>
      </w:r>
      <w:r>
        <w:rPr>
          <w:sz w:val="14"/>
        </w:rPr>
        <w:t>, del c.p.p. ovvero del delitto di cui all’art. 12-</w:t>
      </w:r>
      <w:r>
        <w:rPr>
          <w:i/>
          <w:sz w:val="14"/>
        </w:rPr>
        <w:t>quinquies</w:t>
      </w:r>
      <w:r>
        <w:rPr>
          <w:sz w:val="14"/>
        </w:rPr>
        <w:t>, comma 1, del D.L. n. 306/1992, come convertito dalla L. n. 356/1992; coloro che, operanti in gruppi o isolatamente, pongano in essere atti preparatori, obiettivamente rilevanti, diretti a sovvertire l’ordinamento dello Stato, con la commissione di uno dei</w:t>
      </w:r>
      <w:r>
        <w:rPr>
          <w:spacing w:val="29"/>
          <w:sz w:val="14"/>
        </w:rPr>
        <w:t xml:space="preserve"> </w:t>
      </w:r>
      <w:r>
        <w:rPr>
          <w:sz w:val="14"/>
        </w:rPr>
        <w:t>reati previsti dal capo I, titolo VI, del libro II del</w:t>
      </w:r>
    </w:p>
    <w:p w14:paraId="60BEED64" w14:textId="77777777" w:rsidR="007B22F9" w:rsidRDefault="00256493">
      <w:pPr>
        <w:ind w:left="450" w:right="287"/>
        <w:jc w:val="both"/>
        <w:rPr>
          <w:sz w:val="14"/>
        </w:rPr>
      </w:pPr>
      <w:r>
        <w:rPr>
          <w:sz w:val="14"/>
        </w:rPr>
        <w:t xml:space="preserve">c.p. o dagli articoli 284, 285, 286, 306, 438, 439, 605 e 630 dello stesso cod. nonché alla commissione dei reati con finalità di terrorismo; a coloro che abbiano fatto parte di associazioni politiche disciolte ai sensi della L. n. 645/1952, e nei confronti dei quali debba ritenersi che continuino a svolgere un’attività analoga; coloro che compiano atti preparatori diretti alla ricostituzione del partito fascista ai sensi dell’art. 1 della legge n. 645/1952; fuori dei casi indicati nelle lettere d), e) ed f), siano stati condannati per uno dei delitti previsti nella L. n. 895/1967, e negli articoli 8 ss. della L. n. 497/1974, e </w:t>
      </w:r>
      <w:proofErr w:type="spellStart"/>
      <w:r>
        <w:rPr>
          <w:sz w:val="14"/>
        </w:rPr>
        <w:t>ss.mm.ii</w:t>
      </w:r>
      <w:proofErr w:type="spellEnd"/>
      <w:r>
        <w:rPr>
          <w:sz w:val="14"/>
        </w:rPr>
        <w:t>.; istigatori, ai mandanti e ai finanziatori dei reati indicati nelle lettere precedenti; persone indiziate di avere agevolato gruppi o persone che hanno preso parte attiva alle manifestazioni di violenza di cui all’art. 6 della L. n. 401/1989.</w:t>
      </w:r>
    </w:p>
    <w:p w14:paraId="17A60DF7" w14:textId="77777777" w:rsidR="007B22F9" w:rsidRDefault="007B22F9">
      <w:pPr>
        <w:jc w:val="both"/>
        <w:rPr>
          <w:sz w:val="14"/>
        </w:rPr>
        <w:sectPr w:rsidR="007B22F9">
          <w:type w:val="continuous"/>
          <w:pgSz w:w="11920" w:h="16850"/>
          <w:pgMar w:top="1240" w:right="840" w:bottom="280" w:left="680" w:header="720" w:footer="720" w:gutter="0"/>
          <w:cols w:space="720"/>
        </w:sectPr>
      </w:pPr>
    </w:p>
    <w:p w14:paraId="58728124" w14:textId="77777777" w:rsidR="007B22F9" w:rsidRDefault="00256493">
      <w:pPr>
        <w:pStyle w:val="Titolo2"/>
        <w:spacing w:before="79"/>
        <w:ind w:left="450" w:right="0"/>
        <w:jc w:val="left"/>
      </w:pPr>
      <w:r>
        <w:lastRenderedPageBreak/>
        <w:t xml:space="preserve">Estratto da D. LGS. 159/2011 e </w:t>
      </w:r>
      <w:proofErr w:type="spellStart"/>
      <w:r>
        <w:t>s.m.i.</w:t>
      </w:r>
      <w:proofErr w:type="spellEnd"/>
    </w:p>
    <w:p w14:paraId="3BD115B3" w14:textId="77777777" w:rsidR="007B22F9" w:rsidRDefault="007B22F9">
      <w:pPr>
        <w:pStyle w:val="Corpotesto"/>
        <w:spacing w:before="11"/>
        <w:rPr>
          <w:b/>
          <w:sz w:val="19"/>
        </w:rPr>
      </w:pPr>
    </w:p>
    <w:p w14:paraId="5F3A42C7" w14:textId="77777777" w:rsidR="007B22F9" w:rsidRDefault="00256493">
      <w:pPr>
        <w:ind w:left="450"/>
        <w:rPr>
          <w:sz w:val="20"/>
        </w:rPr>
      </w:pPr>
      <w:r>
        <w:rPr>
          <w:sz w:val="20"/>
        </w:rPr>
        <w:t>Art. 85 (</w:t>
      </w:r>
      <w:r>
        <w:rPr>
          <w:i/>
          <w:sz w:val="20"/>
        </w:rPr>
        <w:t>Soggetti sottoposti alla verifica antimafia</w:t>
      </w:r>
      <w:r>
        <w:rPr>
          <w:sz w:val="20"/>
        </w:rPr>
        <w:t>)</w:t>
      </w:r>
    </w:p>
    <w:p w14:paraId="5920A276" w14:textId="77777777" w:rsidR="007B22F9" w:rsidRDefault="007B22F9">
      <w:pPr>
        <w:pStyle w:val="Corpotesto"/>
        <w:spacing w:before="1"/>
      </w:pPr>
    </w:p>
    <w:p w14:paraId="54055E5C" w14:textId="77777777" w:rsidR="007B22F9" w:rsidRDefault="00256493">
      <w:pPr>
        <w:pStyle w:val="Paragrafoelenco"/>
        <w:numPr>
          <w:ilvl w:val="0"/>
          <w:numId w:val="2"/>
        </w:numPr>
        <w:tabs>
          <w:tab w:val="left" w:pos="723"/>
        </w:tabs>
        <w:ind w:right="294" w:firstLine="0"/>
        <w:jc w:val="both"/>
        <w:rPr>
          <w:sz w:val="20"/>
        </w:rPr>
      </w:pPr>
      <w:r>
        <w:rPr>
          <w:sz w:val="20"/>
        </w:rPr>
        <w:t>La documentazione antimafia, se si tratta di imprese individuali, deve riferirsi al titolare ed</w:t>
      </w:r>
      <w:r>
        <w:rPr>
          <w:spacing w:val="-45"/>
          <w:sz w:val="20"/>
        </w:rPr>
        <w:t xml:space="preserve"> </w:t>
      </w:r>
      <w:r>
        <w:rPr>
          <w:sz w:val="20"/>
        </w:rPr>
        <w:t>al direttore tecnico, ove</w:t>
      </w:r>
      <w:r>
        <w:rPr>
          <w:spacing w:val="-1"/>
          <w:sz w:val="20"/>
        </w:rPr>
        <w:t xml:space="preserve"> </w:t>
      </w:r>
      <w:r>
        <w:rPr>
          <w:sz w:val="20"/>
        </w:rPr>
        <w:t>previsto.</w:t>
      </w:r>
    </w:p>
    <w:p w14:paraId="6D01D2ED" w14:textId="77777777" w:rsidR="007B22F9" w:rsidRDefault="007B22F9">
      <w:pPr>
        <w:pStyle w:val="Corpotesto"/>
        <w:spacing w:before="3"/>
      </w:pPr>
    </w:p>
    <w:p w14:paraId="7A05B053" w14:textId="77777777" w:rsidR="007B22F9" w:rsidRDefault="00256493">
      <w:pPr>
        <w:pStyle w:val="Paragrafoelenco"/>
        <w:numPr>
          <w:ilvl w:val="0"/>
          <w:numId w:val="2"/>
        </w:numPr>
        <w:tabs>
          <w:tab w:val="left" w:pos="785"/>
        </w:tabs>
        <w:ind w:right="297" w:firstLine="0"/>
        <w:jc w:val="both"/>
        <w:rPr>
          <w:sz w:val="20"/>
        </w:rPr>
      </w:pPr>
      <w:r>
        <w:rPr>
          <w:sz w:val="20"/>
        </w:rPr>
        <w:t>La documentazione antimafia, se si tratta di associazioni, imprese, società, consorzi e raggruppamenti temporanei di imprese, deve riferirsi, oltre che al direttore tecnico, ove previsto:</w:t>
      </w:r>
    </w:p>
    <w:p w14:paraId="474A6573" w14:textId="77777777" w:rsidR="007B22F9" w:rsidRDefault="00256493">
      <w:pPr>
        <w:pStyle w:val="Paragrafoelenco"/>
        <w:numPr>
          <w:ilvl w:val="0"/>
          <w:numId w:val="1"/>
        </w:numPr>
        <w:tabs>
          <w:tab w:val="left" w:pos="735"/>
        </w:tabs>
        <w:spacing w:line="234" w:lineRule="exact"/>
        <w:ind w:hanging="285"/>
        <w:jc w:val="both"/>
        <w:rPr>
          <w:sz w:val="20"/>
        </w:rPr>
      </w:pPr>
      <w:r>
        <w:rPr>
          <w:sz w:val="20"/>
        </w:rPr>
        <w:t>per le associazioni, a chi ne ha la legale</w:t>
      </w:r>
      <w:r>
        <w:rPr>
          <w:spacing w:val="-25"/>
          <w:sz w:val="20"/>
        </w:rPr>
        <w:t xml:space="preserve"> </w:t>
      </w:r>
      <w:r>
        <w:rPr>
          <w:sz w:val="20"/>
        </w:rPr>
        <w:t>rappresentanza;</w:t>
      </w:r>
    </w:p>
    <w:p w14:paraId="0C22CC04" w14:textId="77777777" w:rsidR="007B22F9" w:rsidRDefault="00256493">
      <w:pPr>
        <w:pStyle w:val="Paragrafoelenco"/>
        <w:numPr>
          <w:ilvl w:val="0"/>
          <w:numId w:val="1"/>
        </w:numPr>
        <w:tabs>
          <w:tab w:val="left" w:pos="754"/>
        </w:tabs>
        <w:spacing w:before="9"/>
        <w:ind w:left="450" w:right="292" w:firstLine="0"/>
        <w:jc w:val="both"/>
        <w:rPr>
          <w:sz w:val="20"/>
        </w:rPr>
      </w:pPr>
      <w:r>
        <w:rPr>
          <w:sz w:val="20"/>
        </w:rPr>
        <w:t>per le società di capitali anche consortili ai sensi dell’articolo 2615-</w:t>
      </w:r>
      <w:r>
        <w:rPr>
          <w:i/>
          <w:sz w:val="20"/>
        </w:rPr>
        <w:t xml:space="preserve">ter </w:t>
      </w:r>
      <w:r>
        <w:rPr>
          <w:sz w:val="20"/>
        </w:rPr>
        <w:t xml:space="preserve">del codice civile, per le società cooperative, di consorzi cooperativi, per i consorzi di cui al libro V, titolo X, capo II, sezione II, del codice civile, al legale rappresentante e agli eventuali altri componenti l’organo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</w:t>
      </w:r>
      <w:r>
        <w:rPr>
          <w:spacing w:val="6"/>
          <w:sz w:val="20"/>
        </w:rPr>
        <w:t xml:space="preserve">le </w:t>
      </w:r>
      <w:r>
        <w:rPr>
          <w:sz w:val="20"/>
        </w:rPr>
        <w:t>società consortili o i consorzi operino in modo esclusivo nei confronti della pubblica amministrazione;</w:t>
      </w:r>
    </w:p>
    <w:p w14:paraId="2DF963C3" w14:textId="77777777" w:rsidR="007B22F9" w:rsidRDefault="00256493">
      <w:pPr>
        <w:pStyle w:val="Paragrafoelenco"/>
        <w:numPr>
          <w:ilvl w:val="0"/>
          <w:numId w:val="1"/>
        </w:numPr>
        <w:tabs>
          <w:tab w:val="left" w:pos="727"/>
        </w:tabs>
        <w:ind w:left="450" w:right="311" w:firstLine="0"/>
        <w:jc w:val="both"/>
        <w:rPr>
          <w:sz w:val="20"/>
        </w:rPr>
      </w:pPr>
      <w:r>
        <w:rPr>
          <w:sz w:val="20"/>
        </w:rPr>
        <w:t>per le società di capitali, anche al socio di maggioranza in caso di società con un numero di soci pari o inferiore a quattro, ovvero al socio in caso di società con socio</w:t>
      </w:r>
      <w:r>
        <w:rPr>
          <w:spacing w:val="-18"/>
          <w:sz w:val="20"/>
        </w:rPr>
        <w:t xml:space="preserve"> </w:t>
      </w:r>
      <w:r>
        <w:rPr>
          <w:sz w:val="20"/>
        </w:rPr>
        <w:t>unico;</w:t>
      </w:r>
    </w:p>
    <w:p w14:paraId="5374ED0E" w14:textId="77777777" w:rsidR="007B22F9" w:rsidRDefault="00256493">
      <w:pPr>
        <w:pStyle w:val="Paragrafoelenco"/>
        <w:numPr>
          <w:ilvl w:val="0"/>
          <w:numId w:val="1"/>
        </w:numPr>
        <w:tabs>
          <w:tab w:val="left" w:pos="759"/>
        </w:tabs>
        <w:ind w:left="450" w:right="312" w:firstLine="0"/>
        <w:jc w:val="both"/>
        <w:rPr>
          <w:sz w:val="20"/>
        </w:rPr>
      </w:pPr>
      <w:r>
        <w:rPr>
          <w:sz w:val="20"/>
        </w:rPr>
        <w:t>per i consorzi di cui all'articolo 2602 del codice civile, a chi ne ha la rappresentanza e agli imprenditori o società</w:t>
      </w:r>
      <w:r>
        <w:rPr>
          <w:spacing w:val="-2"/>
          <w:sz w:val="20"/>
        </w:rPr>
        <w:t xml:space="preserve"> </w:t>
      </w:r>
      <w:r>
        <w:rPr>
          <w:sz w:val="20"/>
        </w:rPr>
        <w:t>consorziate;</w:t>
      </w:r>
    </w:p>
    <w:p w14:paraId="47B71B49" w14:textId="77777777" w:rsidR="007B22F9" w:rsidRDefault="00256493">
      <w:pPr>
        <w:pStyle w:val="Paragrafoelenco"/>
        <w:numPr>
          <w:ilvl w:val="0"/>
          <w:numId w:val="1"/>
        </w:numPr>
        <w:tabs>
          <w:tab w:val="left" w:pos="732"/>
        </w:tabs>
        <w:spacing w:line="232" w:lineRule="exact"/>
        <w:ind w:left="731" w:hanging="282"/>
        <w:jc w:val="both"/>
        <w:rPr>
          <w:sz w:val="20"/>
        </w:rPr>
      </w:pPr>
      <w:r>
        <w:rPr>
          <w:sz w:val="20"/>
        </w:rPr>
        <w:t>per le società semplice e in nome collettivo, a tutti i</w:t>
      </w:r>
      <w:r>
        <w:rPr>
          <w:spacing w:val="-11"/>
          <w:sz w:val="20"/>
        </w:rPr>
        <w:t xml:space="preserve"> </w:t>
      </w:r>
      <w:r>
        <w:rPr>
          <w:sz w:val="20"/>
        </w:rPr>
        <w:t>soci;</w:t>
      </w:r>
    </w:p>
    <w:p w14:paraId="569E9A42" w14:textId="77777777" w:rsidR="007B22F9" w:rsidRDefault="00256493">
      <w:pPr>
        <w:pStyle w:val="Paragrafoelenco"/>
        <w:numPr>
          <w:ilvl w:val="0"/>
          <w:numId w:val="1"/>
        </w:numPr>
        <w:tabs>
          <w:tab w:val="left" w:pos="684"/>
        </w:tabs>
        <w:spacing w:before="4"/>
        <w:ind w:left="683" w:hanging="234"/>
        <w:rPr>
          <w:sz w:val="20"/>
        </w:rPr>
      </w:pPr>
      <w:r>
        <w:rPr>
          <w:sz w:val="20"/>
        </w:rPr>
        <w:t>per le società in accomandita semplice, ai soci</w:t>
      </w:r>
      <w:r>
        <w:rPr>
          <w:spacing w:val="-11"/>
          <w:sz w:val="20"/>
        </w:rPr>
        <w:t xml:space="preserve"> </w:t>
      </w:r>
      <w:r>
        <w:rPr>
          <w:sz w:val="20"/>
        </w:rPr>
        <w:t>accomandatari;</w:t>
      </w:r>
    </w:p>
    <w:p w14:paraId="1D90AE8B" w14:textId="77777777" w:rsidR="007B22F9" w:rsidRDefault="00256493">
      <w:pPr>
        <w:pStyle w:val="Paragrafoelenco"/>
        <w:numPr>
          <w:ilvl w:val="0"/>
          <w:numId w:val="1"/>
        </w:numPr>
        <w:tabs>
          <w:tab w:val="left" w:pos="804"/>
        </w:tabs>
        <w:spacing w:before="7"/>
        <w:ind w:left="450" w:right="306" w:firstLine="0"/>
        <w:rPr>
          <w:sz w:val="20"/>
        </w:rPr>
      </w:pPr>
      <w:r>
        <w:rPr>
          <w:sz w:val="20"/>
        </w:rPr>
        <w:t>per le società di cui all’articolo 2508 del codice civile, a coloro che le rappresentano stabilmente nel territorio dello</w:t>
      </w:r>
      <w:r>
        <w:rPr>
          <w:spacing w:val="-4"/>
          <w:sz w:val="20"/>
        </w:rPr>
        <w:t xml:space="preserve"> </w:t>
      </w:r>
      <w:r>
        <w:rPr>
          <w:sz w:val="20"/>
        </w:rPr>
        <w:t>Stato;</w:t>
      </w:r>
    </w:p>
    <w:p w14:paraId="5284D8CC" w14:textId="77777777" w:rsidR="007B22F9" w:rsidRDefault="00256493">
      <w:pPr>
        <w:pStyle w:val="Paragrafoelenco"/>
        <w:numPr>
          <w:ilvl w:val="0"/>
          <w:numId w:val="1"/>
        </w:numPr>
        <w:tabs>
          <w:tab w:val="left" w:pos="785"/>
        </w:tabs>
        <w:spacing w:before="1"/>
        <w:ind w:left="450" w:right="299" w:firstLine="0"/>
        <w:rPr>
          <w:sz w:val="20"/>
        </w:rPr>
      </w:pPr>
      <w:r>
        <w:rPr>
          <w:sz w:val="20"/>
        </w:rPr>
        <w:t>per i raggruppamenti temporanei di imprese, alle imprese costituenti il raggruppamento anche se aventi sede all’estero, secondo le modalità indicate nelle lettere</w:t>
      </w:r>
      <w:r>
        <w:rPr>
          <w:spacing w:val="-37"/>
          <w:sz w:val="20"/>
        </w:rPr>
        <w:t xml:space="preserve"> </w:t>
      </w:r>
      <w:r>
        <w:rPr>
          <w:sz w:val="20"/>
        </w:rPr>
        <w:t>precedenti;</w:t>
      </w:r>
    </w:p>
    <w:p w14:paraId="4D7DDCD4" w14:textId="77777777" w:rsidR="007B22F9" w:rsidRDefault="00256493">
      <w:pPr>
        <w:pStyle w:val="Paragrafoelenco"/>
        <w:numPr>
          <w:ilvl w:val="0"/>
          <w:numId w:val="1"/>
        </w:numPr>
        <w:tabs>
          <w:tab w:val="left" w:pos="708"/>
        </w:tabs>
        <w:spacing w:before="1"/>
        <w:ind w:left="450" w:right="302" w:firstLine="0"/>
        <w:rPr>
          <w:sz w:val="20"/>
        </w:rPr>
      </w:pPr>
      <w:r>
        <w:rPr>
          <w:sz w:val="20"/>
        </w:rPr>
        <w:t>per le società personali ai soci persone fisiche delle società personali o di capitali che ne siano</w:t>
      </w:r>
      <w:r>
        <w:rPr>
          <w:spacing w:val="-5"/>
          <w:sz w:val="20"/>
        </w:rPr>
        <w:t xml:space="preserve"> </w:t>
      </w:r>
      <w:r>
        <w:rPr>
          <w:sz w:val="20"/>
        </w:rPr>
        <w:t>socie.</w:t>
      </w:r>
    </w:p>
    <w:p w14:paraId="708D9F3C" w14:textId="77777777" w:rsidR="007B22F9" w:rsidRDefault="007B22F9">
      <w:pPr>
        <w:pStyle w:val="Corpotesto"/>
        <w:spacing w:before="10"/>
        <w:rPr>
          <w:sz w:val="19"/>
        </w:rPr>
      </w:pPr>
    </w:p>
    <w:p w14:paraId="0422A20F" w14:textId="77777777" w:rsidR="007B22F9" w:rsidRDefault="00256493">
      <w:pPr>
        <w:pStyle w:val="Corpotesto"/>
        <w:ind w:left="450" w:right="295"/>
        <w:jc w:val="both"/>
      </w:pPr>
      <w:r>
        <w:t xml:space="preserve">2-bis. Oltre a quanto previsto dal precedente comma 2, per le associazioni e società di qualunque tipo, anche prive di personalità giuridica, la documentazione antimafia è riferita anche ai soggetti membri del collegio sindacale o, nei casi contemplati dall'articolo 2477 del codice civile, al sindaco, </w:t>
      </w:r>
      <w:proofErr w:type="spellStart"/>
      <w:r>
        <w:t>nonchè</w:t>
      </w:r>
      <w:proofErr w:type="spellEnd"/>
      <w:r>
        <w:t xml:space="preserve"> ai soggetti che svolgono i compiti di vigilanza di cui all'articolo 6, comma 1, lettera b) del decreto legislativo 8 giugno 2001, n. 231.</w:t>
      </w:r>
    </w:p>
    <w:p w14:paraId="3FAFC43C" w14:textId="77777777" w:rsidR="007B22F9" w:rsidRDefault="007B22F9">
      <w:pPr>
        <w:pStyle w:val="Corpotesto"/>
        <w:spacing w:before="1"/>
      </w:pPr>
    </w:p>
    <w:p w14:paraId="550800C5" w14:textId="77777777" w:rsidR="007B22F9" w:rsidRDefault="00256493">
      <w:pPr>
        <w:pStyle w:val="Corpotesto"/>
        <w:ind w:left="450" w:right="301"/>
        <w:jc w:val="both"/>
      </w:pPr>
      <w:r>
        <w:t>2-ter. Per le società costituite all'estero, prive di una sede secondaria con rappresentanza stabile nel territorio dello Stato, la documentazione antimafia deve riferirsi a coloro che esercitano poteri di amministrazione, di rappresentanza o di direzione dell'impresa.</w:t>
      </w:r>
    </w:p>
    <w:p w14:paraId="2F1270A4" w14:textId="77777777" w:rsidR="007B22F9" w:rsidRDefault="007B22F9">
      <w:pPr>
        <w:pStyle w:val="Corpotesto"/>
      </w:pPr>
    </w:p>
    <w:p w14:paraId="71780CB5" w14:textId="77777777" w:rsidR="007B22F9" w:rsidRDefault="00256493">
      <w:pPr>
        <w:pStyle w:val="Corpotesto"/>
        <w:ind w:left="450" w:right="289"/>
        <w:jc w:val="both"/>
      </w:pPr>
      <w:r>
        <w:t xml:space="preserve">2-quater.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per cento, </w:t>
      </w:r>
      <w:proofErr w:type="spellStart"/>
      <w:r>
        <w:t>nonchè</w:t>
      </w:r>
      <w:proofErr w:type="spellEnd"/>
      <w:r>
        <w:t xml:space="preserve"> ai direttori generali e ai soggetti responsabili delle sedi secondarie o delle stabili organizzazioni in Italia di soggetti non residenti. Nell'ipotesi in cui i soci persone fisiche detengano la partecipazione superiore 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</w:t>
      </w:r>
      <w:r>
        <w:rPr>
          <w:spacing w:val="-3"/>
        </w:rPr>
        <w:t xml:space="preserve"> </w:t>
      </w:r>
      <w:r>
        <w:t>separato.</w:t>
      </w:r>
    </w:p>
    <w:p w14:paraId="258C6062" w14:textId="77777777" w:rsidR="007B22F9" w:rsidRDefault="007B22F9">
      <w:pPr>
        <w:pStyle w:val="Corpotesto"/>
        <w:spacing w:before="11"/>
        <w:rPr>
          <w:sz w:val="19"/>
        </w:rPr>
      </w:pPr>
    </w:p>
    <w:p w14:paraId="155A6758" w14:textId="77777777" w:rsidR="007B22F9" w:rsidRDefault="00256493">
      <w:pPr>
        <w:pStyle w:val="Paragrafoelenco"/>
        <w:numPr>
          <w:ilvl w:val="0"/>
          <w:numId w:val="2"/>
        </w:numPr>
        <w:tabs>
          <w:tab w:val="left" w:pos="735"/>
        </w:tabs>
        <w:ind w:right="288" w:firstLine="0"/>
        <w:rPr>
          <w:sz w:val="20"/>
        </w:rPr>
      </w:pPr>
      <w:r>
        <w:rPr>
          <w:sz w:val="20"/>
        </w:rPr>
        <w:t>L’informazione antimafia, oltre che ai soggetti di cui ai commi 1, 2, 2-bis, 2-ter e 2-quater, deve riferirsi anche ai familiari</w:t>
      </w:r>
      <w:r>
        <w:rPr>
          <w:spacing w:val="4"/>
          <w:sz w:val="20"/>
        </w:rPr>
        <w:t xml:space="preserve"> </w:t>
      </w:r>
      <w:r>
        <w:rPr>
          <w:sz w:val="20"/>
        </w:rPr>
        <w:t>conviventi.</w:t>
      </w:r>
    </w:p>
    <w:sectPr w:rsidR="007B22F9">
      <w:pgSz w:w="11920" w:h="16850"/>
      <w:pgMar w:top="1320" w:right="8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10E7"/>
    <w:multiLevelType w:val="hybridMultilevel"/>
    <w:tmpl w:val="35FECEA0"/>
    <w:lvl w:ilvl="0" w:tplc="4C8CEFC2">
      <w:start w:val="1"/>
      <w:numFmt w:val="decimal"/>
      <w:lvlText w:val="%1."/>
      <w:lvlJc w:val="left"/>
      <w:pPr>
        <w:ind w:left="450" w:hanging="272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it-IT" w:bidi="it-IT"/>
      </w:rPr>
    </w:lvl>
    <w:lvl w:ilvl="1" w:tplc="7D188B22">
      <w:numFmt w:val="bullet"/>
      <w:lvlText w:val="•"/>
      <w:lvlJc w:val="left"/>
      <w:pPr>
        <w:ind w:left="1453" w:hanging="272"/>
      </w:pPr>
      <w:rPr>
        <w:rFonts w:hint="default"/>
        <w:lang w:val="it-IT" w:eastAsia="it-IT" w:bidi="it-IT"/>
      </w:rPr>
    </w:lvl>
    <w:lvl w:ilvl="2" w:tplc="063C7A8E">
      <w:numFmt w:val="bullet"/>
      <w:lvlText w:val="•"/>
      <w:lvlJc w:val="left"/>
      <w:pPr>
        <w:ind w:left="2446" w:hanging="272"/>
      </w:pPr>
      <w:rPr>
        <w:rFonts w:hint="default"/>
        <w:lang w:val="it-IT" w:eastAsia="it-IT" w:bidi="it-IT"/>
      </w:rPr>
    </w:lvl>
    <w:lvl w:ilvl="3" w:tplc="27D816E8">
      <w:numFmt w:val="bullet"/>
      <w:lvlText w:val="•"/>
      <w:lvlJc w:val="left"/>
      <w:pPr>
        <w:ind w:left="3439" w:hanging="272"/>
      </w:pPr>
      <w:rPr>
        <w:rFonts w:hint="default"/>
        <w:lang w:val="it-IT" w:eastAsia="it-IT" w:bidi="it-IT"/>
      </w:rPr>
    </w:lvl>
    <w:lvl w:ilvl="4" w:tplc="43B4DE14">
      <w:numFmt w:val="bullet"/>
      <w:lvlText w:val="•"/>
      <w:lvlJc w:val="left"/>
      <w:pPr>
        <w:ind w:left="4432" w:hanging="272"/>
      </w:pPr>
      <w:rPr>
        <w:rFonts w:hint="default"/>
        <w:lang w:val="it-IT" w:eastAsia="it-IT" w:bidi="it-IT"/>
      </w:rPr>
    </w:lvl>
    <w:lvl w:ilvl="5" w:tplc="53F0858A">
      <w:numFmt w:val="bullet"/>
      <w:lvlText w:val="•"/>
      <w:lvlJc w:val="left"/>
      <w:pPr>
        <w:ind w:left="5425" w:hanging="272"/>
      </w:pPr>
      <w:rPr>
        <w:rFonts w:hint="default"/>
        <w:lang w:val="it-IT" w:eastAsia="it-IT" w:bidi="it-IT"/>
      </w:rPr>
    </w:lvl>
    <w:lvl w:ilvl="6" w:tplc="92C89F16">
      <w:numFmt w:val="bullet"/>
      <w:lvlText w:val="•"/>
      <w:lvlJc w:val="left"/>
      <w:pPr>
        <w:ind w:left="6418" w:hanging="272"/>
      </w:pPr>
      <w:rPr>
        <w:rFonts w:hint="default"/>
        <w:lang w:val="it-IT" w:eastAsia="it-IT" w:bidi="it-IT"/>
      </w:rPr>
    </w:lvl>
    <w:lvl w:ilvl="7" w:tplc="AE080B9A">
      <w:numFmt w:val="bullet"/>
      <w:lvlText w:val="•"/>
      <w:lvlJc w:val="left"/>
      <w:pPr>
        <w:ind w:left="7411" w:hanging="272"/>
      </w:pPr>
      <w:rPr>
        <w:rFonts w:hint="default"/>
        <w:lang w:val="it-IT" w:eastAsia="it-IT" w:bidi="it-IT"/>
      </w:rPr>
    </w:lvl>
    <w:lvl w:ilvl="8" w:tplc="6D8E39B8">
      <w:numFmt w:val="bullet"/>
      <w:lvlText w:val="•"/>
      <w:lvlJc w:val="left"/>
      <w:pPr>
        <w:ind w:left="8404" w:hanging="272"/>
      </w:pPr>
      <w:rPr>
        <w:rFonts w:hint="default"/>
        <w:lang w:val="it-IT" w:eastAsia="it-IT" w:bidi="it-IT"/>
      </w:rPr>
    </w:lvl>
  </w:abstractNum>
  <w:abstractNum w:abstractNumId="1">
    <w:nsid w:val="51C40ACA"/>
    <w:multiLevelType w:val="hybridMultilevel"/>
    <w:tmpl w:val="219237A4"/>
    <w:lvl w:ilvl="0" w:tplc="EB9A177A">
      <w:start w:val="1"/>
      <w:numFmt w:val="lowerLetter"/>
      <w:lvlText w:val="%1)"/>
      <w:lvlJc w:val="left"/>
      <w:pPr>
        <w:ind w:left="734" w:hanging="284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23D61B3C">
      <w:numFmt w:val="bullet"/>
      <w:lvlText w:val="•"/>
      <w:lvlJc w:val="left"/>
      <w:pPr>
        <w:ind w:left="1705" w:hanging="284"/>
      </w:pPr>
      <w:rPr>
        <w:rFonts w:hint="default"/>
        <w:lang w:val="it-IT" w:eastAsia="it-IT" w:bidi="it-IT"/>
      </w:rPr>
    </w:lvl>
    <w:lvl w:ilvl="2" w:tplc="1F30EA8C">
      <w:numFmt w:val="bullet"/>
      <w:lvlText w:val="•"/>
      <w:lvlJc w:val="left"/>
      <w:pPr>
        <w:ind w:left="2670" w:hanging="284"/>
      </w:pPr>
      <w:rPr>
        <w:rFonts w:hint="default"/>
        <w:lang w:val="it-IT" w:eastAsia="it-IT" w:bidi="it-IT"/>
      </w:rPr>
    </w:lvl>
    <w:lvl w:ilvl="3" w:tplc="AD3A3F58">
      <w:numFmt w:val="bullet"/>
      <w:lvlText w:val="•"/>
      <w:lvlJc w:val="left"/>
      <w:pPr>
        <w:ind w:left="3635" w:hanging="284"/>
      </w:pPr>
      <w:rPr>
        <w:rFonts w:hint="default"/>
        <w:lang w:val="it-IT" w:eastAsia="it-IT" w:bidi="it-IT"/>
      </w:rPr>
    </w:lvl>
    <w:lvl w:ilvl="4" w:tplc="9014BFF4">
      <w:numFmt w:val="bullet"/>
      <w:lvlText w:val="•"/>
      <w:lvlJc w:val="left"/>
      <w:pPr>
        <w:ind w:left="4600" w:hanging="284"/>
      </w:pPr>
      <w:rPr>
        <w:rFonts w:hint="default"/>
        <w:lang w:val="it-IT" w:eastAsia="it-IT" w:bidi="it-IT"/>
      </w:rPr>
    </w:lvl>
    <w:lvl w:ilvl="5" w:tplc="6AD4D616">
      <w:numFmt w:val="bullet"/>
      <w:lvlText w:val="•"/>
      <w:lvlJc w:val="left"/>
      <w:pPr>
        <w:ind w:left="5565" w:hanging="284"/>
      </w:pPr>
      <w:rPr>
        <w:rFonts w:hint="default"/>
        <w:lang w:val="it-IT" w:eastAsia="it-IT" w:bidi="it-IT"/>
      </w:rPr>
    </w:lvl>
    <w:lvl w:ilvl="6" w:tplc="9DA415B6">
      <w:numFmt w:val="bullet"/>
      <w:lvlText w:val="•"/>
      <w:lvlJc w:val="left"/>
      <w:pPr>
        <w:ind w:left="6530" w:hanging="284"/>
      </w:pPr>
      <w:rPr>
        <w:rFonts w:hint="default"/>
        <w:lang w:val="it-IT" w:eastAsia="it-IT" w:bidi="it-IT"/>
      </w:rPr>
    </w:lvl>
    <w:lvl w:ilvl="7" w:tplc="500C59C6">
      <w:numFmt w:val="bullet"/>
      <w:lvlText w:val="•"/>
      <w:lvlJc w:val="left"/>
      <w:pPr>
        <w:ind w:left="7495" w:hanging="284"/>
      </w:pPr>
      <w:rPr>
        <w:rFonts w:hint="default"/>
        <w:lang w:val="it-IT" w:eastAsia="it-IT" w:bidi="it-IT"/>
      </w:rPr>
    </w:lvl>
    <w:lvl w:ilvl="8" w:tplc="7506CA00">
      <w:numFmt w:val="bullet"/>
      <w:lvlText w:val="•"/>
      <w:lvlJc w:val="left"/>
      <w:pPr>
        <w:ind w:left="8460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F9"/>
    <w:rsid w:val="0006779E"/>
    <w:rsid w:val="00231780"/>
    <w:rsid w:val="00256493"/>
    <w:rsid w:val="00411DA6"/>
    <w:rsid w:val="00536B1F"/>
    <w:rsid w:val="007B22F9"/>
    <w:rsid w:val="00C71B8B"/>
    <w:rsid w:val="00DA7F0B"/>
    <w:rsid w:val="00DB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5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90" w:right="1237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5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90" w:right="1237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5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autocertificazione che sostituisce la comunicazione di cui all'art</vt:lpstr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autocertificazione che sostituisce la comunicazione di cui all'art</dc:title>
  <dc:creator>lminnielli</dc:creator>
  <cp:lastModifiedBy>Utente</cp:lastModifiedBy>
  <cp:revision>2</cp:revision>
  <dcterms:created xsi:type="dcterms:W3CDTF">2022-08-23T13:10:00Z</dcterms:created>
  <dcterms:modified xsi:type="dcterms:W3CDTF">2022-08-23T13:10:00Z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2021-01-07T00:00:00Z</vt:filetime>
  </property>
</Properties>
</file>